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603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60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1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C5-47B</w:t>
            </w:r>
            <w:bookmarkEnd w:id="0"/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58"/>
        <w:gridCol w:w="7914"/>
      </w:tblGrid>
      <w:tr>
        <w:trPr/>
        <w:tc>
          <w:tcPr>
            <w:tcW w:w="2858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790700" cy="1743075"/>
                  <wp:effectExtent l="0" t="0" r="0" b="0"/>
                  <wp:docPr id="1" name="Рисунок 1" descr="Резистор С5-4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4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18" w:right="141" w:hanging="0"/>
              <w:jc w:val="both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Постоянные проволочные, общего применения, мощные, изолированные, применяемые в качестве навесных элементов, резисторы типа С5-47, предназначенные для работы в электрических цепях постоянного, переменного и импульсного токов с напряжением до 300 V (амплитудное значение).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tbl>
            <w:tblPr>
              <w:tblW w:w="910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829"/>
              <w:gridCol w:w="2275"/>
            </w:tblGrid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Синусоидальная вибрация: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диапазон частот, Hz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1 - 3000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амплитуда ускорения,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Механический удар: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Одиночного действия: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10000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0,1 - 2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Многократного действия: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1 - 5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линейное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Акустический шум: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диапазон частот, Hz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50 - 10000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уровень звукового сигнала, dB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пониженное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666,6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повышенное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303969,6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максимально допустимая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пониженная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смена температур,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от 213 до 428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относительная влажность при температуре 308 K без конденсации влаги, %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атмосферные конденсированные осадки (иней, туман)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  <w:t>Для резисторов С5-47: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color w:val="495778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3876675" cy="2019300"/>
                  <wp:effectExtent l="0" t="0" r="0" b="0"/>
                  <wp:docPr id="2" name="Рисунок 3" descr="Резистор С5-4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Резистор С5-4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Autospacing="1" w:after="24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</w:r>
          </w:p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Для резисторов С5-47А:</w:t>
            </w:r>
          </w:p>
        </w:tc>
      </w:tr>
      <w:tr>
        <w:trPr>
          <w:trHeight w:val="867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color w:val="495778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1590675" cy="476250"/>
                  <wp:effectExtent l="0" t="0" r="0" b="0"/>
                  <wp:docPr id="3" name="Рисунок 2" descr="Резистор С5-4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Резистор С5-4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Технические характеристики:</w:t>
            </w:r>
          </w:p>
        </w:tc>
      </w:tr>
      <w:tr>
        <w:trPr>
          <w:trHeight w:val="2461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tbl>
            <w:tblPr>
              <w:tblW w:w="907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1409"/>
              <w:gridCol w:w="1539"/>
              <w:gridCol w:w="859"/>
              <w:gridCol w:w="1004"/>
              <w:gridCol w:w="477"/>
              <w:gridCol w:w="819"/>
              <w:gridCol w:w="815"/>
              <w:gridCol w:w="451"/>
              <w:gridCol w:w="540"/>
              <w:gridCol w:w="451"/>
              <w:gridCol w:w="4"/>
              <w:gridCol w:w="705"/>
            </w:tblGrid>
            <w:tr>
              <w:trPr/>
              <w:tc>
                <w:tcPr>
                  <w:tcW w:w="1409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Номинальная мощность рассеяния,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Величина сопротивления, Ом</w:t>
                  </w:r>
                </w:p>
              </w:tc>
              <w:tc>
                <w:tcPr>
                  <w:tcW w:w="5420" w:type="dxa"/>
                  <w:gridSpan w:val="9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Размеры,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70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Масса,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г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>
              <w:trPr/>
              <w:tc>
                <w:tcPr>
                  <w:tcW w:w="1409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539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5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1004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A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477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B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8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B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1max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=</w:t>
                    <w:br/>
                    <w:t>H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81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45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540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1max</w:t>
                  </w:r>
                </w:p>
              </w:tc>
              <w:tc>
                <w:tcPr>
                  <w:tcW w:w="45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h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bscript"/>
                      <w:lang w:eastAsia="ru-RU"/>
                    </w:rPr>
                    <w:t>max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40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1-3300</w:t>
                  </w:r>
                </w:p>
              </w:tc>
              <w:tc>
                <w:tcPr>
                  <w:tcW w:w="85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14±0,1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16±0,1</w:t>
                  </w:r>
                </w:p>
              </w:tc>
              <w:tc>
                <w:tcPr>
                  <w:tcW w:w="477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tbl>
                  <w:tblPr>
                    <w:tblW w:w="765" w:type="dxa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34"/>
                    <w:gridCol w:w="430"/>
                  </w:tblGrid>
                  <w:tr>
                    <w:trPr/>
                    <w:tc>
                      <w:tcPr>
                        <w:tcW w:w="334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2,2</w:t>
                        </w:r>
                      </w:p>
                    </w:tc>
                    <w:tc>
                      <w:tcPr>
                        <w:tcW w:w="43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16"/>
                            <w:szCs w:val="16"/>
                            <w:lang w:eastAsia="ru-RU"/>
                          </w:rPr>
                          <w:t>+0,12</w:t>
                        </w:r>
                      </w:p>
                    </w:tc>
                  </w:tr>
                  <w:tr>
                    <w:trPr/>
                    <w:tc>
                      <w:tcPr>
                        <w:tcW w:w="33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3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5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1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>
              <w:trPr/>
              <w:tc>
                <w:tcPr>
                  <w:tcW w:w="140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3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1,5-5100</w:t>
                  </w:r>
                </w:p>
              </w:tc>
              <w:tc>
                <w:tcPr>
                  <w:tcW w:w="85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22±0,1</w:t>
                  </w:r>
                </w:p>
              </w:tc>
              <w:tc>
                <w:tcPr>
                  <w:tcW w:w="1004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477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19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1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51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451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>
              <w:trPr/>
              <w:tc>
                <w:tcPr>
                  <w:tcW w:w="140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3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2-6200</w:t>
                  </w:r>
                </w:p>
              </w:tc>
              <w:tc>
                <w:tcPr>
                  <w:tcW w:w="85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19±0,1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22±0,1</w:t>
                  </w:r>
                </w:p>
              </w:tc>
              <w:tc>
                <w:tcPr>
                  <w:tcW w:w="477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tbl>
                  <w:tblPr>
                    <w:tblW w:w="765" w:type="dxa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34"/>
                    <w:gridCol w:w="430"/>
                  </w:tblGrid>
                  <w:tr>
                    <w:trPr/>
                    <w:tc>
                      <w:tcPr>
                        <w:tcW w:w="334" w:type="dxa"/>
                        <w:vMerge w:val="restart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3,2</w:t>
                        </w:r>
                      </w:p>
                    </w:tc>
                    <w:tc>
                      <w:tcPr>
                        <w:tcW w:w="43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16"/>
                            <w:szCs w:val="16"/>
                            <w:lang w:eastAsia="ru-RU"/>
                          </w:rPr>
                          <w:t>+0,16</w:t>
                        </w:r>
                      </w:p>
                    </w:tc>
                  </w:tr>
                  <w:tr>
                    <w:trPr/>
                    <w:tc>
                      <w:tcPr>
                        <w:tcW w:w="334" w:type="dxa"/>
                        <w:vMerge w:val="continue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43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Autospacing="1" w:after="0"/>
                          <w:jc w:val="center"/>
                          <w:rPr>
                            <w:rFonts w:ascii="Arial" w:hAnsi="Arial" w:eastAsia="Times New Roman" w:cs="Arial"/>
                            <w:color w:val="495778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color w:val="49577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51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1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>
              <w:trPr/>
              <w:tc>
                <w:tcPr>
                  <w:tcW w:w="140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53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4,3-47000</w:t>
                  </w:r>
                </w:p>
              </w:tc>
              <w:tc>
                <w:tcPr>
                  <w:tcW w:w="85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42±0,1</w:t>
                  </w:r>
                </w:p>
              </w:tc>
              <w:tc>
                <w:tcPr>
                  <w:tcW w:w="1004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477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19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815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sz w:val="18"/>
                      <w:szCs w:val="18"/>
                      <w:lang w:eastAsia="ru-RU"/>
                    </w:rPr>
                  </w:r>
                </w:p>
              </w:tc>
              <w:tc>
                <w:tcPr>
                  <w:tcW w:w="45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40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451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709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6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3" w:customStyle="1">
    <w:name w:val="text3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4" w:customStyle="1">
    <w:name w:val="text4"/>
    <w:basedOn w:val="Normal"/>
    <w:qFormat/>
    <w:rsid w:val="008042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2</Pages>
  <Words>230</Words>
  <Characters>1305</Characters>
  <CharactersWithSpaces>1467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2019-11-07T07:21:00Z</dcterms:created>
  <dc:creator>SERVER-TEST</dc:creator>
  <dc:description/>
  <dc:language>ru-RU</dc:language>
  <cp:lastModifiedBy/>
  <dcterms:modified xsi:type="dcterms:W3CDTF">2019-11-07T16:15:38Z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